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CA" w:rsidRDefault="00284D2B">
      <w:pPr>
        <w:rPr>
          <w:rFonts w:ascii="黑体" w:eastAsia="黑体" w:hAnsi="黑体" w:cs="黑体"/>
          <w:bCs/>
          <w:sz w:val="32"/>
          <w:szCs w:val="32"/>
        </w:rPr>
      </w:pPr>
      <w:bookmarkStart w:id="0" w:name="OLE_LINK12"/>
      <w:r>
        <w:rPr>
          <w:rFonts w:ascii="黑体" w:eastAsia="黑体" w:hAnsi="黑体" w:cs="黑体" w:hint="eastAsia"/>
          <w:bCs/>
          <w:sz w:val="32"/>
          <w:szCs w:val="32"/>
        </w:rPr>
        <w:t>首届（2016）中国商业保理企业融资合作洽谈会报名回执</w:t>
      </w:r>
    </w:p>
    <w:tbl>
      <w:tblPr>
        <w:tblpPr w:leftFromText="180" w:rightFromText="180" w:bottomFromText="200" w:vertAnchor="text" w:horzAnchor="margin" w:tblpXSpec="center" w:tblpY="91"/>
        <w:tblOverlap w:val="never"/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81"/>
        <w:gridCol w:w="62"/>
        <w:gridCol w:w="1572"/>
        <w:gridCol w:w="1412"/>
        <w:gridCol w:w="73"/>
        <w:gridCol w:w="329"/>
        <w:gridCol w:w="874"/>
        <w:gridCol w:w="402"/>
        <w:gridCol w:w="360"/>
        <w:gridCol w:w="110"/>
        <w:gridCol w:w="120"/>
        <w:gridCol w:w="426"/>
        <w:gridCol w:w="409"/>
        <w:gridCol w:w="2438"/>
      </w:tblGrid>
      <w:tr w:rsidR="00B901CA">
        <w:trPr>
          <w:trHeight w:hRule="exact" w:val="471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bookmarkStart w:id="1" w:name="OLE_LINK6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662" w:type="dxa"/>
            <w:gridSpan w:val="6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2438" w:type="dxa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B901CA">
        <w:trPr>
          <w:trHeight w:hRule="exact" w:val="456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662" w:type="dxa"/>
            <w:gridSpan w:val="6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2438" w:type="dxa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B901CA">
        <w:trPr>
          <w:trHeight w:hRule="exact" w:val="457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bookmarkStart w:id="2" w:name="OLE_LINK1" w:colFirst="1" w:colLast="4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572" w:type="dxa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部门及职务</w:t>
            </w:r>
          </w:p>
        </w:tc>
        <w:tc>
          <w:tcPr>
            <w:tcW w:w="1605" w:type="dxa"/>
            <w:gridSpan w:val="3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QQ /微信</w:t>
            </w:r>
          </w:p>
        </w:tc>
        <w:tc>
          <w:tcPr>
            <w:tcW w:w="2438" w:type="dxa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B901CA">
        <w:trPr>
          <w:trHeight w:hRule="exact" w:val="416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手      机</w:t>
            </w:r>
          </w:p>
        </w:tc>
        <w:tc>
          <w:tcPr>
            <w:tcW w:w="1605" w:type="dxa"/>
            <w:gridSpan w:val="3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5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438" w:type="dxa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bookmarkEnd w:id="2"/>
      <w:tr w:rsidR="00B901CA">
        <w:trPr>
          <w:trHeight w:hRule="exact" w:val="471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1572" w:type="dxa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485" w:type="dxa"/>
            <w:gridSpan w:val="2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部门及职务</w:t>
            </w:r>
          </w:p>
        </w:tc>
        <w:tc>
          <w:tcPr>
            <w:tcW w:w="1605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3863" w:type="dxa"/>
            <w:gridSpan w:val="6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电子信箱</w:t>
            </w:r>
          </w:p>
        </w:tc>
      </w:tr>
      <w:tr w:rsidR="00B901CA">
        <w:trPr>
          <w:trHeight w:hRule="exact" w:val="416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B901CA">
        <w:trPr>
          <w:trHeight w:hRule="exact" w:val="416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gridSpan w:val="6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B901CA">
        <w:trPr>
          <w:trHeight w:hRule="exact" w:val="665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参与方式</w:t>
            </w:r>
          </w:p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（请划“√”）</w:t>
            </w:r>
          </w:p>
        </w:tc>
        <w:tc>
          <w:tcPr>
            <w:tcW w:w="8525" w:type="dxa"/>
            <w:gridSpan w:val="12"/>
            <w:vAlign w:val="center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bookmarkStart w:id="3" w:name="OLE_LINK11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□</w:t>
            </w:r>
            <w:bookmarkEnd w:id="3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赞助      □对话嘉宾    □支持      □协办</w:t>
            </w:r>
            <w:bookmarkStart w:id="4" w:name="OLE_LINK8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□演讲</w:t>
            </w:r>
            <w:bookmarkEnd w:id="4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</w:t>
            </w:r>
          </w:p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□普通参会  □展览展示    □会刊宣传  □其他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B901CA">
        <w:trPr>
          <w:trHeight w:val="1000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ind w:rightChars="-51" w:right="-107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参会选择</w:t>
            </w:r>
          </w:p>
        </w:tc>
        <w:tc>
          <w:tcPr>
            <w:tcW w:w="8525" w:type="dxa"/>
            <w:gridSpan w:val="12"/>
            <w:vAlign w:val="center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□开幕式、主论坛  □论坛一、三 </w:t>
            </w:r>
            <w: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□论坛二、四   □论坛五   □论坛六 </w:t>
            </w:r>
          </w:p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□对接洽谈一      □对接洽谈二   □对接洽谈三   □联谊会   □闭幕式</w:t>
            </w:r>
          </w:p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请参照“保洽会”日程安排选择。</w:t>
            </w:r>
          </w:p>
        </w:tc>
      </w:tr>
      <w:tr w:rsidR="00B901CA" w:rsidTr="00491923">
        <w:trPr>
          <w:trHeight w:val="605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住宿需求</w:t>
            </w:r>
          </w:p>
        </w:tc>
        <w:tc>
          <w:tcPr>
            <w:tcW w:w="2984" w:type="dxa"/>
            <w:gridSpan w:val="2"/>
            <w:vAlign w:val="center"/>
          </w:tcPr>
          <w:p w:rsidR="00B901CA" w:rsidRDefault="00284D2B">
            <w:pPr>
              <w:jc w:val="both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大床房：（  ）间（  ）天</w:t>
            </w:r>
          </w:p>
          <w:p w:rsidR="00B901CA" w:rsidRDefault="00284D2B">
            <w:pPr>
              <w:jc w:val="both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双床房：（  ）间（  ）天</w:t>
            </w:r>
          </w:p>
        </w:tc>
        <w:tc>
          <w:tcPr>
            <w:tcW w:w="2268" w:type="dxa"/>
            <w:gridSpan w:val="7"/>
            <w:vAlign w:val="center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入住时间：</w:t>
            </w:r>
            <w:bookmarkStart w:id="5" w:name="OLE_LINK5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（  ）日</w:t>
            </w:r>
            <w:bookmarkEnd w:id="5"/>
          </w:p>
          <w:p w:rsidR="00B901CA" w:rsidRDefault="00284D2B" w:rsidP="0049192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退房时间：</w:t>
            </w:r>
            <w:r w:rsidR="00491923"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）日</w:t>
            </w:r>
          </w:p>
        </w:tc>
        <w:tc>
          <w:tcPr>
            <w:tcW w:w="426" w:type="dxa"/>
            <w:vAlign w:val="center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847" w:type="dxa"/>
            <w:gridSpan w:val="2"/>
            <w:vAlign w:val="center"/>
          </w:tcPr>
          <w:p w:rsidR="00B901CA" w:rsidRDefault="0049192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标准大床/双床房:538元</w:t>
            </w:r>
          </w:p>
          <w:p w:rsidR="00491923" w:rsidRDefault="0049192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豪华大床/双床房:638元</w:t>
            </w:r>
          </w:p>
        </w:tc>
      </w:tr>
      <w:tr w:rsidR="00B901CA">
        <w:trPr>
          <w:trHeight w:val="509"/>
          <w:jc w:val="center"/>
        </w:trPr>
        <w:tc>
          <w:tcPr>
            <w:tcW w:w="10185" w:type="dxa"/>
            <w:gridSpan w:val="15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投融资需求调查</w:t>
            </w:r>
          </w:p>
        </w:tc>
      </w:tr>
      <w:tr w:rsidR="00B901CA">
        <w:trPr>
          <w:trHeight w:hRule="exact" w:val="466"/>
          <w:jc w:val="center"/>
        </w:trPr>
        <w:tc>
          <w:tcPr>
            <w:tcW w:w="1598" w:type="dxa"/>
            <w:gridSpan w:val="2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投融资需求</w:t>
            </w:r>
          </w:p>
        </w:tc>
        <w:tc>
          <w:tcPr>
            <w:tcW w:w="8587" w:type="dxa"/>
            <w:gridSpan w:val="13"/>
            <w:vAlign w:val="center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□融资需求方          □资金提供方           □业务合作 </w:t>
            </w:r>
          </w:p>
        </w:tc>
      </w:tr>
      <w:tr w:rsidR="00B901CA">
        <w:trPr>
          <w:trHeight w:hRule="exact" w:val="437"/>
          <w:jc w:val="center"/>
        </w:trPr>
        <w:tc>
          <w:tcPr>
            <w:tcW w:w="1598" w:type="dxa"/>
            <w:gridSpan w:val="2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企业性质</w:t>
            </w:r>
          </w:p>
        </w:tc>
        <w:tc>
          <w:tcPr>
            <w:tcW w:w="8587" w:type="dxa"/>
            <w:gridSpan w:val="13"/>
            <w:vAlign w:val="center"/>
          </w:tcPr>
          <w:p w:rsidR="00B901CA" w:rsidRDefault="00284D2B">
            <w:pPr>
              <w:jc w:val="both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□国有  □民营  □上市公司  □中外合资  □外商独资  </w:t>
            </w:r>
            <w:bookmarkStart w:id="6" w:name="OLE_LINK16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□其他</w:t>
            </w:r>
            <w:bookmarkStart w:id="7" w:name="OLE_LINK3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bookmarkEnd w:id="6"/>
            <w:bookmarkEnd w:id="7"/>
          </w:p>
        </w:tc>
      </w:tr>
      <w:tr w:rsidR="00B901CA">
        <w:trPr>
          <w:trHeight w:hRule="exact" w:val="474"/>
          <w:jc w:val="center"/>
        </w:trPr>
        <w:tc>
          <w:tcPr>
            <w:tcW w:w="1598" w:type="dxa"/>
            <w:gridSpan w:val="2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注册资本</w:t>
            </w:r>
          </w:p>
        </w:tc>
        <w:tc>
          <w:tcPr>
            <w:tcW w:w="3448" w:type="dxa"/>
            <w:gridSpan w:val="5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bookmarkStart w:id="8" w:name="OLE_LINK9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            万元</w:t>
            </w:r>
            <w:bookmarkEnd w:id="8"/>
          </w:p>
        </w:tc>
        <w:tc>
          <w:tcPr>
            <w:tcW w:w="1636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企业简介</w:t>
            </w:r>
          </w:p>
        </w:tc>
        <w:tc>
          <w:tcPr>
            <w:tcW w:w="3503" w:type="dxa"/>
            <w:gridSpan w:val="5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（可另附，1000字以内）</w:t>
            </w:r>
          </w:p>
        </w:tc>
      </w:tr>
      <w:tr w:rsidR="00B901CA">
        <w:trPr>
          <w:trHeight w:hRule="exact" w:val="312"/>
          <w:jc w:val="center"/>
        </w:trPr>
        <w:tc>
          <w:tcPr>
            <w:tcW w:w="10185" w:type="dxa"/>
            <w:gridSpan w:val="15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请根据实际情况选择A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或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B进行填写</w:t>
            </w:r>
          </w:p>
        </w:tc>
      </w:tr>
      <w:tr w:rsidR="00B901CA">
        <w:trPr>
          <w:trHeight w:hRule="exact" w:val="442"/>
          <w:jc w:val="center"/>
        </w:trPr>
        <w:tc>
          <w:tcPr>
            <w:tcW w:w="5046" w:type="dxa"/>
            <w:gridSpan w:val="7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 xml:space="preserve">A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融资需求方</w:t>
            </w:r>
          </w:p>
        </w:tc>
        <w:tc>
          <w:tcPr>
            <w:tcW w:w="5139" w:type="dxa"/>
            <w:gridSpan w:val="8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B </w:t>
            </w:r>
            <w:bookmarkStart w:id="9" w:name="OLE_LINK2"/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资金提供方</w:t>
            </w:r>
            <w:bookmarkEnd w:id="9"/>
          </w:p>
        </w:tc>
      </w:tr>
      <w:tr w:rsidR="00B901CA">
        <w:trPr>
          <w:trHeight w:val="833"/>
          <w:jc w:val="center"/>
        </w:trPr>
        <w:tc>
          <w:tcPr>
            <w:tcW w:w="817" w:type="dxa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bookmarkStart w:id="10" w:name="OLE_LINK7" w:colFirst="2" w:colLast="3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融 资</w:t>
            </w:r>
          </w:p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渠 道</w:t>
            </w:r>
          </w:p>
        </w:tc>
        <w:tc>
          <w:tcPr>
            <w:tcW w:w="4229" w:type="dxa"/>
            <w:gridSpan w:val="6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□再保理 □双保理 □股东 □银行 □信托   □基金   □资产证券化</w:t>
            </w:r>
          </w:p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□互联网平台      □其他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874" w:type="dxa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合 作方 式</w:t>
            </w:r>
          </w:p>
        </w:tc>
        <w:tc>
          <w:tcPr>
            <w:tcW w:w="4265" w:type="dxa"/>
            <w:gridSpan w:val="7"/>
            <w:vAlign w:val="center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□再保理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□双保理</w:t>
            </w:r>
          </w:p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□纯资金投入  □其他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</w:p>
        </w:tc>
      </w:tr>
      <w:tr w:rsidR="00B901CA">
        <w:trPr>
          <w:trHeight w:val="261"/>
          <w:jc w:val="center"/>
        </w:trPr>
        <w:tc>
          <w:tcPr>
            <w:tcW w:w="817" w:type="dxa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业 务</w:t>
            </w:r>
          </w:p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来 源</w:t>
            </w:r>
          </w:p>
        </w:tc>
        <w:tc>
          <w:tcPr>
            <w:tcW w:w="4229" w:type="dxa"/>
            <w:gridSpan w:val="6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□股东产业链上下游业务  </w:t>
            </w:r>
          </w:p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□与股东产业没有关系的业务</w:t>
            </w:r>
          </w:p>
        </w:tc>
        <w:tc>
          <w:tcPr>
            <w:tcW w:w="874" w:type="dxa"/>
            <w:vMerge w:val="restart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公 司类 型</w:t>
            </w:r>
          </w:p>
        </w:tc>
        <w:tc>
          <w:tcPr>
            <w:tcW w:w="4265" w:type="dxa"/>
            <w:gridSpan w:val="7"/>
            <w:vMerge w:val="restart"/>
            <w:vAlign w:val="center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□银行  □信托  □保险  □证券</w:t>
            </w:r>
          </w:p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□投资  □资产管理    □股权基金   </w:t>
            </w:r>
          </w:p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□担保  □互联网平台  □小额贷款    </w:t>
            </w:r>
            <w:bookmarkStart w:id="11" w:name="OLE_LINK14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□保理</w:t>
            </w:r>
            <w:bookmarkEnd w:id="11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□融资租赁    □其他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</w:t>
            </w:r>
          </w:p>
        </w:tc>
      </w:tr>
      <w:tr w:rsidR="00B901CA">
        <w:trPr>
          <w:trHeight w:val="559"/>
          <w:jc w:val="center"/>
        </w:trPr>
        <w:tc>
          <w:tcPr>
            <w:tcW w:w="817" w:type="dxa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业 务</w:t>
            </w:r>
          </w:p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范 围</w:t>
            </w:r>
          </w:p>
        </w:tc>
        <w:tc>
          <w:tcPr>
            <w:tcW w:w="4229" w:type="dxa"/>
            <w:gridSpan w:val="6"/>
          </w:tcPr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□保理融资  □销售分户账管理  </w:t>
            </w:r>
          </w:p>
          <w:p w:rsidR="00B901CA" w:rsidRDefault="00284D2B">
            <w:pPr>
              <w:jc w:val="lef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□商账催收 </w:t>
            </w:r>
            <w:bookmarkStart w:id="12" w:name="OLE_LINK13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□</w:t>
            </w:r>
            <w:bookmarkEnd w:id="12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坏账担保 □其他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</w:t>
            </w:r>
          </w:p>
        </w:tc>
        <w:tc>
          <w:tcPr>
            <w:tcW w:w="874" w:type="dxa"/>
            <w:vMerge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265" w:type="dxa"/>
            <w:gridSpan w:val="7"/>
            <w:vMerge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B901CA">
        <w:trPr>
          <w:trHeight w:val="485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资金需求额度</w:t>
            </w:r>
          </w:p>
        </w:tc>
        <w:tc>
          <w:tcPr>
            <w:tcW w:w="3386" w:type="dxa"/>
            <w:gridSpan w:val="4"/>
            <w:vAlign w:val="center"/>
          </w:tcPr>
          <w:p w:rsidR="00B901CA" w:rsidRDefault="00284D2B">
            <w:pPr>
              <w:jc w:val="both"/>
              <w:rPr>
                <w:rFonts w:asciiTheme="majorEastAsia" w:eastAsiaTheme="majorEastAsia" w:hAnsiTheme="majorEastAsia" w:cs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</w:t>
            </w:r>
            <w:bookmarkStart w:id="13" w:name="OLE_LINK10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</w:t>
            </w:r>
            <w:bookmarkStart w:id="14" w:name="OLE_LINK4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  <w:bookmarkEnd w:id="14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      万元</w:t>
            </w:r>
            <w:bookmarkEnd w:id="13"/>
          </w:p>
        </w:tc>
        <w:tc>
          <w:tcPr>
            <w:tcW w:w="1746" w:type="dxa"/>
            <w:gridSpan w:val="4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资金提供额度</w:t>
            </w:r>
          </w:p>
        </w:tc>
        <w:tc>
          <w:tcPr>
            <w:tcW w:w="3393" w:type="dxa"/>
            <w:gridSpan w:val="4"/>
            <w:vAlign w:val="center"/>
          </w:tcPr>
          <w:p w:rsidR="00B901CA" w:rsidRDefault="00284D2B">
            <w:pPr>
              <w:jc w:val="both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    万元</w:t>
            </w:r>
          </w:p>
        </w:tc>
      </w:tr>
      <w:tr w:rsidR="00B901CA">
        <w:trPr>
          <w:trHeight w:val="495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资金使用期限</w:t>
            </w:r>
          </w:p>
        </w:tc>
        <w:tc>
          <w:tcPr>
            <w:tcW w:w="3386" w:type="dxa"/>
            <w:gridSpan w:val="4"/>
            <w:vAlign w:val="center"/>
          </w:tcPr>
          <w:p w:rsidR="00B901CA" w:rsidRDefault="00B901CA">
            <w:pPr>
              <w:jc w:val="both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资金提供期限</w:t>
            </w:r>
          </w:p>
        </w:tc>
        <w:tc>
          <w:tcPr>
            <w:tcW w:w="3393" w:type="dxa"/>
            <w:gridSpan w:val="4"/>
            <w:vAlign w:val="center"/>
          </w:tcPr>
          <w:p w:rsidR="00B901CA" w:rsidRDefault="00B901CA">
            <w:pPr>
              <w:jc w:val="both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B901CA">
        <w:trPr>
          <w:trHeight w:val="489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主要业务领域</w:t>
            </w:r>
          </w:p>
        </w:tc>
        <w:tc>
          <w:tcPr>
            <w:tcW w:w="3386" w:type="dxa"/>
            <w:gridSpan w:val="4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资金投向行业</w:t>
            </w:r>
          </w:p>
        </w:tc>
        <w:tc>
          <w:tcPr>
            <w:tcW w:w="3393" w:type="dxa"/>
            <w:gridSpan w:val="4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B901CA">
        <w:trPr>
          <w:trHeight w:val="474"/>
          <w:jc w:val="center"/>
        </w:trPr>
        <w:tc>
          <w:tcPr>
            <w:tcW w:w="1660" w:type="dxa"/>
            <w:gridSpan w:val="3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资金使用计划</w:t>
            </w:r>
          </w:p>
        </w:tc>
        <w:tc>
          <w:tcPr>
            <w:tcW w:w="3386" w:type="dxa"/>
            <w:gridSpan w:val="4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46" w:type="dxa"/>
            <w:gridSpan w:val="4"/>
            <w:vAlign w:val="center"/>
          </w:tcPr>
          <w:p w:rsidR="00B901CA" w:rsidRDefault="00284D2B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资金使用要求</w:t>
            </w:r>
          </w:p>
        </w:tc>
        <w:tc>
          <w:tcPr>
            <w:tcW w:w="3393" w:type="dxa"/>
            <w:gridSpan w:val="4"/>
            <w:vAlign w:val="center"/>
          </w:tcPr>
          <w:p w:rsidR="00B901CA" w:rsidRDefault="00B901CA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</w:tbl>
    <w:bookmarkEnd w:id="1"/>
    <w:bookmarkEnd w:id="10"/>
    <w:p w:rsidR="00A138FD" w:rsidRPr="00A138FD" w:rsidRDefault="00284D2B" w:rsidP="00A138FD">
      <w:pPr>
        <w:ind w:leftChars="-295" w:hangingChars="295" w:hanging="619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注：</w:t>
      </w:r>
      <w:r w:rsidR="00A138FD" w:rsidRPr="00A138FD">
        <w:rPr>
          <w:rFonts w:hint="eastAsia"/>
          <w:szCs w:val="21"/>
        </w:rPr>
        <w:t xml:space="preserve">1. </w:t>
      </w:r>
      <w:r w:rsidR="00A138FD" w:rsidRPr="00A138FD">
        <w:rPr>
          <w:rFonts w:hint="eastAsia"/>
          <w:szCs w:val="21"/>
        </w:rPr>
        <w:t>中国服务贸易协会商业保理专业委员会会员单位免收会议费（副主任及常务单位</w:t>
      </w:r>
      <w:r w:rsidR="00A138FD" w:rsidRPr="00A138FD">
        <w:rPr>
          <w:rFonts w:hint="eastAsia"/>
          <w:szCs w:val="21"/>
        </w:rPr>
        <w:t>2</w:t>
      </w:r>
      <w:r w:rsidR="00A138FD" w:rsidRPr="00A138FD">
        <w:rPr>
          <w:rFonts w:hint="eastAsia"/>
          <w:szCs w:val="21"/>
        </w:rPr>
        <w:t>人免费，普通会员单位</w:t>
      </w:r>
      <w:r w:rsidR="00A138FD" w:rsidRPr="00A138FD">
        <w:rPr>
          <w:rFonts w:hint="eastAsia"/>
          <w:szCs w:val="21"/>
        </w:rPr>
        <w:t>1</w:t>
      </w:r>
      <w:r w:rsidR="00A138FD" w:rsidRPr="00A138FD">
        <w:rPr>
          <w:rFonts w:hint="eastAsia"/>
          <w:szCs w:val="21"/>
        </w:rPr>
        <w:t>人免费）；非会员单位及会员单位免费名额以外参会人员，收取会议费</w:t>
      </w:r>
      <w:r w:rsidR="00A138FD" w:rsidRPr="00A138FD">
        <w:rPr>
          <w:rFonts w:hint="eastAsia"/>
          <w:szCs w:val="21"/>
        </w:rPr>
        <w:t>2000</w:t>
      </w:r>
      <w:r w:rsidR="00A138FD" w:rsidRPr="00A138FD">
        <w:rPr>
          <w:rFonts w:hint="eastAsia"/>
          <w:szCs w:val="21"/>
        </w:rPr>
        <w:t>元</w:t>
      </w:r>
      <w:r w:rsidR="00A138FD" w:rsidRPr="00A138FD">
        <w:rPr>
          <w:rFonts w:hint="eastAsia"/>
          <w:szCs w:val="21"/>
        </w:rPr>
        <w:t>/</w:t>
      </w:r>
      <w:r w:rsidR="00A138FD" w:rsidRPr="00A138FD">
        <w:rPr>
          <w:rFonts w:hint="eastAsia"/>
          <w:szCs w:val="21"/>
        </w:rPr>
        <w:t>人（含资料、餐费等）；不接待未报名空降参会。</w:t>
      </w:r>
      <w:r w:rsidR="00A138FD" w:rsidRPr="00A138FD">
        <w:rPr>
          <w:rFonts w:hint="eastAsia"/>
          <w:szCs w:val="21"/>
        </w:rPr>
        <w:t xml:space="preserve"> </w:t>
      </w:r>
    </w:p>
    <w:p w:rsidR="00B54515" w:rsidRDefault="00A138FD" w:rsidP="00A138FD">
      <w:pPr>
        <w:ind w:leftChars="-295" w:hangingChars="295" w:hanging="619"/>
        <w:jc w:val="left"/>
        <w:rPr>
          <w:szCs w:val="21"/>
        </w:rPr>
      </w:pPr>
      <w:r w:rsidRPr="00A138FD">
        <w:rPr>
          <w:rFonts w:hint="eastAsia"/>
          <w:szCs w:val="21"/>
        </w:rPr>
        <w:t xml:space="preserve">    2. </w:t>
      </w:r>
      <w:r w:rsidRPr="00A138FD">
        <w:rPr>
          <w:rFonts w:hint="eastAsia"/>
          <w:szCs w:val="21"/>
        </w:rPr>
        <w:t>专委会联系方式：</w:t>
      </w:r>
      <w:r w:rsidRPr="00A138FD">
        <w:rPr>
          <w:rFonts w:hint="eastAsia"/>
          <w:szCs w:val="21"/>
        </w:rPr>
        <w:t xml:space="preserve">010-64515363/64515241  </w:t>
      </w:r>
      <w:r w:rsidRPr="00A138FD">
        <w:rPr>
          <w:rFonts w:hint="eastAsia"/>
          <w:szCs w:val="21"/>
        </w:rPr>
        <w:t>邮箱：</w:t>
      </w:r>
      <w:r w:rsidRPr="00A138FD">
        <w:rPr>
          <w:rFonts w:hint="eastAsia"/>
          <w:szCs w:val="21"/>
        </w:rPr>
        <w:t>cfec@cfec.org.cn</w:t>
      </w:r>
      <w:bookmarkEnd w:id="0"/>
    </w:p>
    <w:sectPr w:rsidR="00B54515" w:rsidSect="00B901CA">
      <w:pgSz w:w="11906" w:h="16838"/>
      <w:pgMar w:top="794" w:right="1633" w:bottom="794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87C" w:rsidRDefault="003B487C" w:rsidP="00491923">
      <w:r>
        <w:separator/>
      </w:r>
    </w:p>
  </w:endnote>
  <w:endnote w:type="continuationSeparator" w:id="1">
    <w:p w:rsidR="003B487C" w:rsidRDefault="003B487C" w:rsidP="0049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87C" w:rsidRDefault="003B487C" w:rsidP="00491923">
      <w:r>
        <w:separator/>
      </w:r>
    </w:p>
  </w:footnote>
  <w:footnote w:type="continuationSeparator" w:id="1">
    <w:p w:rsidR="003B487C" w:rsidRDefault="003B487C" w:rsidP="00491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472552"/>
    <w:rsid w:val="000B3B01"/>
    <w:rsid w:val="000D2C7A"/>
    <w:rsid w:val="000E2ADC"/>
    <w:rsid w:val="00284D2B"/>
    <w:rsid w:val="003B487C"/>
    <w:rsid w:val="003E336B"/>
    <w:rsid w:val="00491923"/>
    <w:rsid w:val="00580E56"/>
    <w:rsid w:val="006C41C4"/>
    <w:rsid w:val="008A14D7"/>
    <w:rsid w:val="008D5146"/>
    <w:rsid w:val="008F4C07"/>
    <w:rsid w:val="008F6994"/>
    <w:rsid w:val="00A138FD"/>
    <w:rsid w:val="00AE71DF"/>
    <w:rsid w:val="00B54515"/>
    <w:rsid w:val="00B816C2"/>
    <w:rsid w:val="00B901CA"/>
    <w:rsid w:val="00C02AF5"/>
    <w:rsid w:val="00C758AB"/>
    <w:rsid w:val="00C96530"/>
    <w:rsid w:val="00D253FA"/>
    <w:rsid w:val="00DB5835"/>
    <w:rsid w:val="00DE02E8"/>
    <w:rsid w:val="00E402DF"/>
    <w:rsid w:val="00E86969"/>
    <w:rsid w:val="00EA4AEA"/>
    <w:rsid w:val="00EC02F4"/>
    <w:rsid w:val="00F84B3B"/>
    <w:rsid w:val="0328504B"/>
    <w:rsid w:val="084F6714"/>
    <w:rsid w:val="0BC15963"/>
    <w:rsid w:val="0CAE4350"/>
    <w:rsid w:val="0D4A338C"/>
    <w:rsid w:val="0E641C6A"/>
    <w:rsid w:val="114C0BD7"/>
    <w:rsid w:val="18373696"/>
    <w:rsid w:val="1AAB5568"/>
    <w:rsid w:val="1B4119C4"/>
    <w:rsid w:val="20336CCF"/>
    <w:rsid w:val="21946C69"/>
    <w:rsid w:val="2208029F"/>
    <w:rsid w:val="2590027E"/>
    <w:rsid w:val="269B40D7"/>
    <w:rsid w:val="29FC131C"/>
    <w:rsid w:val="2AF33693"/>
    <w:rsid w:val="2C6A7682"/>
    <w:rsid w:val="2ECA4FAE"/>
    <w:rsid w:val="377A2AC8"/>
    <w:rsid w:val="397B076A"/>
    <w:rsid w:val="3B231A39"/>
    <w:rsid w:val="3F104B2F"/>
    <w:rsid w:val="3FF26FD1"/>
    <w:rsid w:val="41B35805"/>
    <w:rsid w:val="45EB7849"/>
    <w:rsid w:val="4CD9206B"/>
    <w:rsid w:val="512A575D"/>
    <w:rsid w:val="515E7CD4"/>
    <w:rsid w:val="51781F00"/>
    <w:rsid w:val="534315C5"/>
    <w:rsid w:val="5482762C"/>
    <w:rsid w:val="54AC3EA6"/>
    <w:rsid w:val="55FB212E"/>
    <w:rsid w:val="57211C2E"/>
    <w:rsid w:val="5C2B6156"/>
    <w:rsid w:val="5D4204F2"/>
    <w:rsid w:val="5F710A23"/>
    <w:rsid w:val="624E49B6"/>
    <w:rsid w:val="6BEE66BA"/>
    <w:rsid w:val="6E7E0C19"/>
    <w:rsid w:val="72D81A8E"/>
    <w:rsid w:val="74B958E5"/>
    <w:rsid w:val="75472552"/>
    <w:rsid w:val="7710211B"/>
    <w:rsid w:val="7D45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1CA"/>
    <w:pPr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901CA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B901CA"/>
    <w:pPr>
      <w:ind w:firstLineChars="200" w:firstLine="420"/>
    </w:pPr>
  </w:style>
  <w:style w:type="paragraph" w:styleId="a4">
    <w:name w:val="header"/>
    <w:basedOn w:val="a"/>
    <w:link w:val="Char"/>
    <w:rsid w:val="0049192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91923"/>
    <w:rPr>
      <w:kern w:val="2"/>
      <w:sz w:val="18"/>
      <w:szCs w:val="18"/>
    </w:rPr>
  </w:style>
  <w:style w:type="paragraph" w:styleId="a5">
    <w:name w:val="footer"/>
    <w:basedOn w:val="a"/>
    <w:link w:val="Char0"/>
    <w:rsid w:val="0049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919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E252A-B0FB-4422-8B13-B44C9DE1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Company>HP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CFEC</cp:lastModifiedBy>
  <cp:revision>11</cp:revision>
  <cp:lastPrinted>2016-07-12T09:16:00Z</cp:lastPrinted>
  <dcterms:created xsi:type="dcterms:W3CDTF">2016-07-11T01:42:00Z</dcterms:created>
  <dcterms:modified xsi:type="dcterms:W3CDTF">2016-07-15T03:55:00Z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